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8B9CA" w14:textId="77777777" w:rsidR="005D4056" w:rsidRPr="005D4056" w:rsidRDefault="00610F25" w:rsidP="005D4056">
      <w:pPr>
        <w:ind w:firstLine="720"/>
        <w:jc w:val="center"/>
        <w:rPr>
          <w:b/>
          <w:bCs/>
          <w:sz w:val="20"/>
          <w:szCs w:val="20"/>
        </w:rPr>
      </w:pPr>
      <w:r>
        <w:rPr>
          <w:noProof/>
        </w:rPr>
        <w:drawing>
          <wp:anchor distT="0" distB="0" distL="114300" distR="114300" simplePos="0" relativeHeight="251657728" behindDoc="0" locked="0" layoutInCell="1" allowOverlap="1" wp14:anchorId="0D38BA86" wp14:editId="5458580E">
            <wp:simplePos x="0" y="0"/>
            <wp:positionH relativeFrom="column">
              <wp:posOffset>342900</wp:posOffset>
            </wp:positionH>
            <wp:positionV relativeFrom="paragraph">
              <wp:posOffset>-114300</wp:posOffset>
            </wp:positionV>
            <wp:extent cx="1261745"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695325"/>
                    </a:xfrm>
                    <a:prstGeom prst="rect">
                      <a:avLst/>
                    </a:prstGeom>
                    <a:noFill/>
                  </pic:spPr>
                </pic:pic>
              </a:graphicData>
            </a:graphic>
            <wp14:sizeRelH relativeFrom="page">
              <wp14:pctWidth>0</wp14:pctWidth>
            </wp14:sizeRelH>
            <wp14:sizeRelV relativeFrom="page">
              <wp14:pctHeight>0</wp14:pctHeight>
            </wp14:sizeRelV>
          </wp:anchor>
        </w:drawing>
      </w:r>
      <w:r w:rsidR="00782547" w:rsidRPr="005D4056">
        <w:rPr>
          <w:b/>
          <w:bCs/>
          <w:sz w:val="20"/>
          <w:szCs w:val="20"/>
        </w:rPr>
        <w:t>PROPOS</w:t>
      </w:r>
      <w:r w:rsidR="005D4056" w:rsidRPr="005D4056">
        <w:rPr>
          <w:b/>
          <w:bCs/>
          <w:sz w:val="20"/>
          <w:szCs w:val="20"/>
        </w:rPr>
        <w:t xml:space="preserve">ED </w:t>
      </w:r>
      <w:r w:rsidR="00782547" w:rsidRPr="005D4056">
        <w:rPr>
          <w:b/>
          <w:bCs/>
          <w:sz w:val="20"/>
          <w:szCs w:val="20"/>
        </w:rPr>
        <w:t>CHANGES</w:t>
      </w:r>
    </w:p>
    <w:p w14:paraId="1CCC6589" w14:textId="4514CA81" w:rsidR="00782547" w:rsidRPr="005D4056" w:rsidRDefault="00532250" w:rsidP="005D4056">
      <w:pPr>
        <w:ind w:firstLine="720"/>
        <w:jc w:val="center"/>
        <w:rPr>
          <w:b/>
          <w:bCs/>
          <w:sz w:val="20"/>
          <w:szCs w:val="20"/>
        </w:rPr>
      </w:pPr>
      <w:r w:rsidRPr="005D4056">
        <w:rPr>
          <w:b/>
          <w:bCs/>
          <w:sz w:val="20"/>
          <w:szCs w:val="20"/>
        </w:rPr>
        <w:t>TO THE 20</w:t>
      </w:r>
      <w:r w:rsidR="00764198">
        <w:rPr>
          <w:b/>
          <w:bCs/>
          <w:sz w:val="20"/>
          <w:szCs w:val="20"/>
        </w:rPr>
        <w:t>2</w:t>
      </w:r>
      <w:r w:rsidR="00A71A6B">
        <w:rPr>
          <w:b/>
          <w:bCs/>
          <w:sz w:val="20"/>
          <w:szCs w:val="20"/>
        </w:rPr>
        <w:t>1</w:t>
      </w:r>
      <w:r w:rsidR="00723BF6">
        <w:rPr>
          <w:b/>
          <w:bCs/>
          <w:sz w:val="20"/>
          <w:szCs w:val="20"/>
        </w:rPr>
        <w:t xml:space="preserve"> </w:t>
      </w:r>
      <w:r w:rsidR="00782547" w:rsidRPr="005D4056">
        <w:rPr>
          <w:b/>
          <w:bCs/>
          <w:sz w:val="20"/>
          <w:szCs w:val="20"/>
        </w:rPr>
        <w:t>CASI OFFICIAL RULES</w:t>
      </w:r>
    </w:p>
    <w:p w14:paraId="685FEDF7" w14:textId="77777777" w:rsidR="00782547" w:rsidRPr="002F7F82" w:rsidRDefault="00782547">
      <w:pPr>
        <w:rPr>
          <w:sz w:val="20"/>
          <w:szCs w:val="20"/>
        </w:rPr>
      </w:pPr>
    </w:p>
    <w:p w14:paraId="43391B96" w14:textId="77777777" w:rsidR="00782547" w:rsidRDefault="00782547">
      <w:pPr>
        <w:rPr>
          <w:sz w:val="20"/>
          <w:szCs w:val="20"/>
        </w:rPr>
      </w:pPr>
    </w:p>
    <w:p w14:paraId="00E410D4" w14:textId="77777777" w:rsidR="005C5A30" w:rsidRDefault="005C5A30">
      <w:pPr>
        <w:rPr>
          <w:sz w:val="20"/>
          <w:szCs w:val="20"/>
        </w:rPr>
      </w:pPr>
    </w:p>
    <w:tbl>
      <w:tblPr>
        <w:tblStyle w:val="TableGrid"/>
        <w:tblW w:w="0" w:type="auto"/>
        <w:tblLook w:val="04A0" w:firstRow="1" w:lastRow="0" w:firstColumn="1" w:lastColumn="0" w:noHBand="0" w:noVBand="1"/>
      </w:tblPr>
      <w:tblGrid>
        <w:gridCol w:w="720"/>
        <w:gridCol w:w="4320"/>
        <w:gridCol w:w="4320"/>
        <w:gridCol w:w="3168"/>
        <w:gridCol w:w="1184"/>
      </w:tblGrid>
      <w:tr w:rsidR="005C5A30" w:rsidRPr="005C5A30" w14:paraId="6D8F2B6B" w14:textId="77777777" w:rsidTr="008850C6">
        <w:tc>
          <w:tcPr>
            <w:tcW w:w="720" w:type="dxa"/>
            <w:tcBorders>
              <w:bottom w:val="single" w:sz="4" w:space="0" w:color="auto"/>
            </w:tcBorders>
          </w:tcPr>
          <w:p w14:paraId="4866457E" w14:textId="77777777" w:rsidR="005C5A30" w:rsidRPr="005C5A30" w:rsidRDefault="005C5A30" w:rsidP="005C5A30">
            <w:pPr>
              <w:jc w:val="center"/>
              <w:rPr>
                <w:b/>
                <w:sz w:val="20"/>
                <w:szCs w:val="20"/>
              </w:rPr>
            </w:pPr>
            <w:r w:rsidRPr="005C5A30">
              <w:rPr>
                <w:b/>
                <w:sz w:val="20"/>
                <w:szCs w:val="20"/>
              </w:rPr>
              <w:t>No.</w:t>
            </w:r>
          </w:p>
        </w:tc>
        <w:tc>
          <w:tcPr>
            <w:tcW w:w="4320" w:type="dxa"/>
            <w:tcBorders>
              <w:bottom w:val="single" w:sz="4" w:space="0" w:color="auto"/>
            </w:tcBorders>
          </w:tcPr>
          <w:p w14:paraId="1684E09F" w14:textId="77777777" w:rsidR="005C5A30" w:rsidRPr="005C5A30" w:rsidRDefault="009E391A" w:rsidP="00714B4B">
            <w:pPr>
              <w:jc w:val="center"/>
              <w:rPr>
                <w:b/>
                <w:sz w:val="20"/>
                <w:szCs w:val="20"/>
              </w:rPr>
            </w:pPr>
            <w:r>
              <w:rPr>
                <w:b/>
                <w:sz w:val="20"/>
                <w:szCs w:val="20"/>
              </w:rPr>
              <w:t>Proposed Change</w:t>
            </w:r>
          </w:p>
        </w:tc>
        <w:tc>
          <w:tcPr>
            <w:tcW w:w="4320" w:type="dxa"/>
            <w:tcBorders>
              <w:bottom w:val="single" w:sz="4" w:space="0" w:color="auto"/>
            </w:tcBorders>
          </w:tcPr>
          <w:p w14:paraId="02A9FDA5" w14:textId="77777777" w:rsidR="005C5A30" w:rsidRPr="005C5A30" w:rsidRDefault="009E391A" w:rsidP="00714B4B">
            <w:pPr>
              <w:jc w:val="center"/>
              <w:rPr>
                <w:b/>
                <w:sz w:val="20"/>
                <w:szCs w:val="20"/>
              </w:rPr>
            </w:pPr>
            <w:r>
              <w:rPr>
                <w:b/>
                <w:sz w:val="20"/>
                <w:szCs w:val="20"/>
              </w:rPr>
              <w:t>Suggested Wording</w:t>
            </w:r>
          </w:p>
        </w:tc>
        <w:tc>
          <w:tcPr>
            <w:tcW w:w="3168" w:type="dxa"/>
            <w:tcBorders>
              <w:bottom w:val="single" w:sz="4" w:space="0" w:color="auto"/>
            </w:tcBorders>
          </w:tcPr>
          <w:p w14:paraId="4E745A2A" w14:textId="77777777" w:rsidR="005C5A30" w:rsidRPr="005C5A30" w:rsidRDefault="009E391A" w:rsidP="00714B4B">
            <w:pPr>
              <w:jc w:val="center"/>
              <w:rPr>
                <w:b/>
                <w:sz w:val="20"/>
                <w:szCs w:val="20"/>
              </w:rPr>
            </w:pPr>
            <w:r>
              <w:rPr>
                <w:b/>
                <w:sz w:val="20"/>
                <w:szCs w:val="20"/>
              </w:rPr>
              <w:t>Reasoning</w:t>
            </w:r>
          </w:p>
        </w:tc>
        <w:tc>
          <w:tcPr>
            <w:tcW w:w="1184" w:type="dxa"/>
            <w:tcBorders>
              <w:bottom w:val="single" w:sz="4" w:space="0" w:color="auto"/>
            </w:tcBorders>
          </w:tcPr>
          <w:p w14:paraId="60B3D214" w14:textId="77777777" w:rsidR="005C5A30" w:rsidRPr="005C5A30" w:rsidRDefault="005C5A30" w:rsidP="005C5A30">
            <w:pPr>
              <w:jc w:val="center"/>
              <w:rPr>
                <w:b/>
                <w:sz w:val="20"/>
                <w:szCs w:val="20"/>
              </w:rPr>
            </w:pPr>
            <w:r>
              <w:rPr>
                <w:b/>
                <w:sz w:val="20"/>
                <w:szCs w:val="20"/>
              </w:rPr>
              <w:t>Sponsoring Pod</w:t>
            </w:r>
          </w:p>
        </w:tc>
      </w:tr>
      <w:tr w:rsidR="005C5A30" w14:paraId="50FD6E57" w14:textId="77777777" w:rsidTr="008850C6">
        <w:tc>
          <w:tcPr>
            <w:tcW w:w="720" w:type="dxa"/>
            <w:tcBorders>
              <w:right w:val="nil"/>
            </w:tcBorders>
          </w:tcPr>
          <w:p w14:paraId="2881A621" w14:textId="77777777" w:rsidR="005C5A30" w:rsidRDefault="005C5A30" w:rsidP="005C5A30">
            <w:pPr>
              <w:jc w:val="center"/>
              <w:rPr>
                <w:sz w:val="20"/>
                <w:szCs w:val="20"/>
              </w:rPr>
            </w:pPr>
          </w:p>
        </w:tc>
        <w:tc>
          <w:tcPr>
            <w:tcW w:w="4320" w:type="dxa"/>
            <w:tcBorders>
              <w:left w:val="nil"/>
              <w:right w:val="nil"/>
            </w:tcBorders>
          </w:tcPr>
          <w:p w14:paraId="10CEF604" w14:textId="77777777" w:rsidR="005C5A30" w:rsidRDefault="005C5A30">
            <w:pPr>
              <w:rPr>
                <w:sz w:val="20"/>
                <w:szCs w:val="20"/>
              </w:rPr>
            </w:pPr>
          </w:p>
        </w:tc>
        <w:tc>
          <w:tcPr>
            <w:tcW w:w="4320" w:type="dxa"/>
            <w:tcBorders>
              <w:left w:val="nil"/>
              <w:right w:val="nil"/>
            </w:tcBorders>
          </w:tcPr>
          <w:p w14:paraId="6EC0A981" w14:textId="77777777" w:rsidR="005C5A30" w:rsidRPr="00835736" w:rsidRDefault="00835736" w:rsidP="00835736">
            <w:pPr>
              <w:tabs>
                <w:tab w:val="left" w:pos="288"/>
              </w:tabs>
              <w:ind w:left="576" w:hanging="288"/>
              <w:jc w:val="center"/>
              <w:rPr>
                <w:b/>
                <w:sz w:val="20"/>
                <w:szCs w:val="20"/>
              </w:rPr>
            </w:pPr>
            <w:r>
              <w:rPr>
                <w:b/>
                <w:sz w:val="20"/>
                <w:szCs w:val="20"/>
              </w:rPr>
              <w:t>V.  THE CASI-SANCTIONED COOKOFF</w:t>
            </w:r>
          </w:p>
        </w:tc>
        <w:tc>
          <w:tcPr>
            <w:tcW w:w="3168" w:type="dxa"/>
            <w:tcBorders>
              <w:left w:val="nil"/>
              <w:right w:val="nil"/>
            </w:tcBorders>
          </w:tcPr>
          <w:p w14:paraId="7033A096" w14:textId="77777777" w:rsidR="005C5A30" w:rsidRDefault="005C5A30">
            <w:pPr>
              <w:rPr>
                <w:sz w:val="20"/>
                <w:szCs w:val="20"/>
              </w:rPr>
            </w:pPr>
          </w:p>
        </w:tc>
        <w:tc>
          <w:tcPr>
            <w:tcW w:w="1184" w:type="dxa"/>
            <w:tcBorders>
              <w:left w:val="nil"/>
            </w:tcBorders>
          </w:tcPr>
          <w:p w14:paraId="07A49BE6" w14:textId="77777777" w:rsidR="005C5A30" w:rsidRDefault="005C5A30" w:rsidP="00714B4B">
            <w:pPr>
              <w:tabs>
                <w:tab w:val="left" w:pos="288"/>
              </w:tabs>
              <w:jc w:val="center"/>
              <w:rPr>
                <w:sz w:val="20"/>
                <w:szCs w:val="20"/>
              </w:rPr>
            </w:pPr>
          </w:p>
        </w:tc>
      </w:tr>
      <w:tr w:rsidR="008850C6" w14:paraId="7C5D1421" w14:textId="77777777" w:rsidTr="008850C6">
        <w:tc>
          <w:tcPr>
            <w:tcW w:w="720" w:type="dxa"/>
          </w:tcPr>
          <w:p w14:paraId="257EEAC1" w14:textId="77777777" w:rsidR="008850C6" w:rsidRDefault="009E391A" w:rsidP="00D134E3">
            <w:pPr>
              <w:jc w:val="center"/>
              <w:rPr>
                <w:sz w:val="20"/>
                <w:szCs w:val="20"/>
              </w:rPr>
            </w:pPr>
            <w:r>
              <w:rPr>
                <w:sz w:val="20"/>
                <w:szCs w:val="20"/>
              </w:rPr>
              <w:t>1</w:t>
            </w:r>
            <w:r w:rsidR="00D134E3">
              <w:rPr>
                <w:sz w:val="20"/>
                <w:szCs w:val="20"/>
              </w:rPr>
              <w:t>2</w:t>
            </w:r>
          </w:p>
        </w:tc>
        <w:tc>
          <w:tcPr>
            <w:tcW w:w="4320" w:type="dxa"/>
          </w:tcPr>
          <w:p w14:paraId="1100BE37" w14:textId="77777777" w:rsidR="005A6D1F" w:rsidRPr="00041677" w:rsidRDefault="005A6D1F" w:rsidP="005A6D1F">
            <w:pPr>
              <w:suppressAutoHyphens/>
              <w:ind w:left="288" w:hanging="288"/>
              <w:rPr>
                <w:spacing w:val="-2"/>
                <w:sz w:val="20"/>
                <w:szCs w:val="20"/>
              </w:rPr>
            </w:pPr>
            <w:r w:rsidRPr="00041677">
              <w:rPr>
                <w:spacing w:val="-2"/>
                <w:sz w:val="20"/>
                <w:szCs w:val="20"/>
              </w:rPr>
              <w:t>A.</w:t>
            </w:r>
            <w:r w:rsidRPr="00041677">
              <w:rPr>
                <w:spacing w:val="-2"/>
                <w:sz w:val="20"/>
                <w:szCs w:val="20"/>
              </w:rPr>
              <w:tab/>
              <w:t>REQUIREMENTS FOR A CASI-SANCTIONED COOKOFF</w:t>
            </w:r>
          </w:p>
          <w:p w14:paraId="648DFE1F" w14:textId="77777777" w:rsidR="005A6D1F" w:rsidRPr="00250270" w:rsidRDefault="005A6D1F" w:rsidP="005A6D1F">
            <w:pPr>
              <w:suppressAutoHyphens/>
              <w:ind w:left="288" w:hanging="288"/>
              <w:rPr>
                <w:spacing w:val="-2"/>
                <w:sz w:val="20"/>
                <w:szCs w:val="20"/>
              </w:rPr>
            </w:pPr>
            <w:r w:rsidRPr="00250270">
              <w:rPr>
                <w:bCs/>
                <w:spacing w:val="-2"/>
                <w:sz w:val="20"/>
                <w:szCs w:val="20"/>
              </w:rPr>
              <w:t>3.</w:t>
            </w:r>
            <w:r w:rsidRPr="00250270">
              <w:rPr>
                <w:bCs/>
                <w:spacing w:val="-2"/>
                <w:sz w:val="20"/>
                <w:szCs w:val="20"/>
              </w:rPr>
              <w:tab/>
              <w:t>RESTRICTIONS</w:t>
            </w:r>
            <w:r w:rsidRPr="00250270">
              <w:rPr>
                <w:spacing w:val="-2"/>
                <w:sz w:val="20"/>
                <w:szCs w:val="20"/>
              </w:rPr>
              <w:t xml:space="preserve"> </w:t>
            </w:r>
            <w:r>
              <w:rPr>
                <w:spacing w:val="-2"/>
                <w:sz w:val="20"/>
                <w:szCs w:val="20"/>
              </w:rPr>
              <w:t>–</w:t>
            </w:r>
            <w:r w:rsidRPr="00250270">
              <w:rPr>
                <w:spacing w:val="-2"/>
                <w:sz w:val="20"/>
                <w:szCs w:val="20"/>
              </w:rPr>
              <w:t xml:space="preserve"> Any cookoff restrictions (e.g., ground meat only, entry date different from cookoff date, limit on number of entries, local ordinances, etc.) must be clearly stated in all forms of publication. CASI Referees will not be responsible for enforcing local ordinances (e.g., no propane stoves, no open fires, must cook in enclosed area, etc.). Enforcement will remain the responsibility of the cookoff promoter.</w:t>
            </w:r>
          </w:p>
          <w:p w14:paraId="365AE9AB" w14:textId="77777777" w:rsidR="008850C6" w:rsidRPr="005A6D1F" w:rsidRDefault="005A6D1F" w:rsidP="005A6D1F">
            <w:pPr>
              <w:ind w:left="576" w:hanging="288"/>
              <w:rPr>
                <w:sz w:val="20"/>
                <w:szCs w:val="20"/>
              </w:rPr>
            </w:pPr>
            <w:r w:rsidRPr="005A6D1F">
              <w:rPr>
                <w:sz w:val="20"/>
                <w:szCs w:val="20"/>
              </w:rPr>
              <w:t>a.  Every Open, Regional, State, National or International Cookoff should be an “Open meat” requirement with no limits on meat categories.</w:t>
            </w:r>
          </w:p>
        </w:tc>
        <w:tc>
          <w:tcPr>
            <w:tcW w:w="4320" w:type="dxa"/>
          </w:tcPr>
          <w:p w14:paraId="58C30901" w14:textId="77777777" w:rsidR="005A6D1F" w:rsidRPr="00041677" w:rsidRDefault="005A6D1F" w:rsidP="005A6D1F">
            <w:pPr>
              <w:suppressAutoHyphens/>
              <w:ind w:left="288" w:hanging="288"/>
              <w:rPr>
                <w:spacing w:val="-2"/>
                <w:sz w:val="20"/>
                <w:szCs w:val="20"/>
              </w:rPr>
            </w:pPr>
            <w:r w:rsidRPr="00041677">
              <w:rPr>
                <w:spacing w:val="-2"/>
                <w:sz w:val="20"/>
                <w:szCs w:val="20"/>
              </w:rPr>
              <w:t>A.</w:t>
            </w:r>
            <w:r w:rsidRPr="00041677">
              <w:rPr>
                <w:spacing w:val="-2"/>
                <w:sz w:val="20"/>
                <w:szCs w:val="20"/>
              </w:rPr>
              <w:tab/>
              <w:t>REQUIREMENTS FOR A CASI-SANCTIONED COOKOFF</w:t>
            </w:r>
          </w:p>
          <w:p w14:paraId="4D3D5AEE" w14:textId="77777777" w:rsidR="005A6D1F" w:rsidRPr="00250270" w:rsidRDefault="005A6D1F" w:rsidP="005A6D1F">
            <w:pPr>
              <w:suppressAutoHyphens/>
              <w:ind w:left="288" w:hanging="288"/>
              <w:rPr>
                <w:spacing w:val="-2"/>
                <w:sz w:val="20"/>
                <w:szCs w:val="20"/>
              </w:rPr>
            </w:pPr>
            <w:r w:rsidRPr="00250270">
              <w:rPr>
                <w:bCs/>
                <w:spacing w:val="-2"/>
                <w:sz w:val="20"/>
                <w:szCs w:val="20"/>
              </w:rPr>
              <w:t>3.</w:t>
            </w:r>
            <w:r w:rsidRPr="00250270">
              <w:rPr>
                <w:bCs/>
                <w:spacing w:val="-2"/>
                <w:sz w:val="20"/>
                <w:szCs w:val="20"/>
              </w:rPr>
              <w:tab/>
              <w:t>RESTRICTIONS</w:t>
            </w:r>
            <w:r w:rsidRPr="00250270">
              <w:rPr>
                <w:spacing w:val="-2"/>
                <w:sz w:val="20"/>
                <w:szCs w:val="20"/>
              </w:rPr>
              <w:t xml:space="preserve"> </w:t>
            </w:r>
            <w:r>
              <w:rPr>
                <w:spacing w:val="-2"/>
                <w:sz w:val="20"/>
                <w:szCs w:val="20"/>
              </w:rPr>
              <w:t>–</w:t>
            </w:r>
            <w:r w:rsidRPr="00250270">
              <w:rPr>
                <w:spacing w:val="-2"/>
                <w:sz w:val="20"/>
                <w:szCs w:val="20"/>
              </w:rPr>
              <w:t xml:space="preserve"> Any cookoff restrictions (e.g., ground meat only, entry date different from cookoff date, limit on number of entries, local ordinances, etc.) must be clearly stated in all forms of publication. CASI Referees will not be responsible for enforcing local ordinances (e.g., no propane stoves, no open fires, must cook in enclosed area, etc.). Enforcement will remain the responsibility of the cookoff promoter.</w:t>
            </w:r>
          </w:p>
          <w:p w14:paraId="45D6480F" w14:textId="77777777" w:rsidR="008850C6" w:rsidRDefault="005A6D1F" w:rsidP="005A6D1F">
            <w:pPr>
              <w:ind w:left="576" w:hanging="288"/>
              <w:rPr>
                <w:sz w:val="20"/>
                <w:szCs w:val="20"/>
              </w:rPr>
            </w:pPr>
            <w:r w:rsidRPr="005A6D1F">
              <w:rPr>
                <w:sz w:val="20"/>
                <w:szCs w:val="20"/>
              </w:rPr>
              <w:t xml:space="preserve">a.  </w:t>
            </w:r>
            <w:r>
              <w:rPr>
                <w:sz w:val="20"/>
                <w:szCs w:val="20"/>
              </w:rPr>
              <w:t xml:space="preserve">No CASI Open Championship may have a meat restriction. </w:t>
            </w:r>
            <w:r w:rsidRPr="005A6D1F">
              <w:rPr>
                <w:strike/>
                <w:sz w:val="20"/>
                <w:szCs w:val="20"/>
              </w:rPr>
              <w:t>Every Open, Regional, State, National or International Cookoff should be an “Open meat” requirement with no limits on meat categories.</w:t>
            </w:r>
          </w:p>
        </w:tc>
        <w:tc>
          <w:tcPr>
            <w:tcW w:w="3168" w:type="dxa"/>
          </w:tcPr>
          <w:p w14:paraId="48973AFE" w14:textId="77777777" w:rsidR="008850C6" w:rsidRDefault="005A6D1F" w:rsidP="008850C6">
            <w:pPr>
              <w:rPr>
                <w:sz w:val="20"/>
                <w:szCs w:val="20"/>
              </w:rPr>
            </w:pPr>
            <w:r>
              <w:rPr>
                <w:sz w:val="20"/>
                <w:szCs w:val="20"/>
              </w:rPr>
              <w:t>This proposed rules change deals with restrictions, so it appears under V.A.3. We have not, and cannot define “open meat.” We can say restrictions may not be placed on certain cookoffs. Also, an Open cookoff is defined in Rule VI.A.2. Naming them is not necessary.</w:t>
            </w:r>
          </w:p>
          <w:p w14:paraId="6CBF106A" w14:textId="77777777" w:rsidR="005C0F6F" w:rsidRDefault="005C0F6F" w:rsidP="008850C6">
            <w:pPr>
              <w:rPr>
                <w:sz w:val="20"/>
                <w:szCs w:val="20"/>
              </w:rPr>
            </w:pPr>
          </w:p>
          <w:p w14:paraId="78E5B328" w14:textId="77777777" w:rsidR="005C0F6F" w:rsidRDefault="005C0F6F" w:rsidP="008850C6">
            <w:pPr>
              <w:rPr>
                <w:sz w:val="20"/>
                <w:szCs w:val="20"/>
              </w:rPr>
            </w:pPr>
          </w:p>
          <w:p w14:paraId="1F170117" w14:textId="77777777" w:rsidR="005C0F6F" w:rsidRDefault="005C0F6F" w:rsidP="005C0F6F">
            <w:pPr>
              <w:jc w:val="center"/>
              <w:rPr>
                <w:sz w:val="20"/>
                <w:szCs w:val="20"/>
              </w:rPr>
            </w:pPr>
            <w:r>
              <w:rPr>
                <w:sz w:val="20"/>
                <w:szCs w:val="20"/>
              </w:rPr>
              <w:t>Accepted</w:t>
            </w:r>
          </w:p>
        </w:tc>
        <w:tc>
          <w:tcPr>
            <w:tcW w:w="1184" w:type="dxa"/>
          </w:tcPr>
          <w:p w14:paraId="50919710" w14:textId="77777777" w:rsidR="008850C6" w:rsidRDefault="00764198" w:rsidP="00D134E3">
            <w:pPr>
              <w:rPr>
                <w:sz w:val="20"/>
                <w:szCs w:val="20"/>
              </w:rPr>
            </w:pPr>
            <w:r>
              <w:rPr>
                <w:sz w:val="20"/>
                <w:szCs w:val="20"/>
              </w:rPr>
              <w:t>CASI POD</w:t>
            </w:r>
          </w:p>
        </w:tc>
      </w:tr>
      <w:tr w:rsidR="008850C6" w14:paraId="15E8DC7D" w14:textId="77777777" w:rsidTr="008850C6">
        <w:tc>
          <w:tcPr>
            <w:tcW w:w="720" w:type="dxa"/>
          </w:tcPr>
          <w:p w14:paraId="19DA3598" w14:textId="77777777" w:rsidR="008850C6" w:rsidRDefault="008850C6" w:rsidP="008850C6">
            <w:pPr>
              <w:jc w:val="center"/>
              <w:rPr>
                <w:sz w:val="20"/>
                <w:szCs w:val="20"/>
              </w:rPr>
            </w:pPr>
          </w:p>
        </w:tc>
        <w:tc>
          <w:tcPr>
            <w:tcW w:w="4320" w:type="dxa"/>
          </w:tcPr>
          <w:p w14:paraId="6346C895" w14:textId="77777777" w:rsidR="008850C6" w:rsidRDefault="008850C6" w:rsidP="008850C6">
            <w:pPr>
              <w:rPr>
                <w:sz w:val="20"/>
                <w:szCs w:val="20"/>
              </w:rPr>
            </w:pPr>
          </w:p>
        </w:tc>
        <w:tc>
          <w:tcPr>
            <w:tcW w:w="4320" w:type="dxa"/>
          </w:tcPr>
          <w:p w14:paraId="2D89D718" w14:textId="77777777" w:rsidR="008850C6" w:rsidRDefault="008850C6" w:rsidP="008850C6">
            <w:pPr>
              <w:rPr>
                <w:sz w:val="20"/>
                <w:szCs w:val="20"/>
              </w:rPr>
            </w:pPr>
          </w:p>
        </w:tc>
        <w:tc>
          <w:tcPr>
            <w:tcW w:w="3168" w:type="dxa"/>
          </w:tcPr>
          <w:p w14:paraId="1C0D7AD4" w14:textId="77777777" w:rsidR="008850C6" w:rsidRDefault="008850C6" w:rsidP="008850C6">
            <w:pPr>
              <w:rPr>
                <w:sz w:val="20"/>
                <w:szCs w:val="20"/>
              </w:rPr>
            </w:pPr>
          </w:p>
        </w:tc>
        <w:tc>
          <w:tcPr>
            <w:tcW w:w="1184" w:type="dxa"/>
          </w:tcPr>
          <w:p w14:paraId="4C2DD8F4" w14:textId="77777777" w:rsidR="008850C6" w:rsidRDefault="008850C6" w:rsidP="008850C6">
            <w:pPr>
              <w:jc w:val="center"/>
              <w:rPr>
                <w:sz w:val="20"/>
                <w:szCs w:val="20"/>
              </w:rPr>
            </w:pPr>
          </w:p>
        </w:tc>
      </w:tr>
      <w:tr w:rsidR="008850C6" w14:paraId="3F0009E7" w14:textId="77777777" w:rsidTr="008850C6">
        <w:tc>
          <w:tcPr>
            <w:tcW w:w="720" w:type="dxa"/>
          </w:tcPr>
          <w:p w14:paraId="215F64B4" w14:textId="77777777" w:rsidR="008850C6" w:rsidRDefault="008850C6" w:rsidP="008850C6">
            <w:pPr>
              <w:jc w:val="center"/>
              <w:rPr>
                <w:sz w:val="20"/>
                <w:szCs w:val="20"/>
              </w:rPr>
            </w:pPr>
          </w:p>
        </w:tc>
        <w:tc>
          <w:tcPr>
            <w:tcW w:w="4320" w:type="dxa"/>
          </w:tcPr>
          <w:p w14:paraId="63A71731" w14:textId="77777777" w:rsidR="008850C6" w:rsidRDefault="008850C6" w:rsidP="008850C6">
            <w:pPr>
              <w:rPr>
                <w:sz w:val="20"/>
                <w:szCs w:val="20"/>
              </w:rPr>
            </w:pPr>
          </w:p>
        </w:tc>
        <w:tc>
          <w:tcPr>
            <w:tcW w:w="4320" w:type="dxa"/>
          </w:tcPr>
          <w:p w14:paraId="1C31AFC9" w14:textId="77777777" w:rsidR="008850C6" w:rsidRDefault="008850C6" w:rsidP="008850C6">
            <w:pPr>
              <w:rPr>
                <w:sz w:val="20"/>
                <w:szCs w:val="20"/>
              </w:rPr>
            </w:pPr>
          </w:p>
        </w:tc>
        <w:tc>
          <w:tcPr>
            <w:tcW w:w="3168" w:type="dxa"/>
          </w:tcPr>
          <w:p w14:paraId="39316499" w14:textId="77777777" w:rsidR="008850C6" w:rsidRDefault="008850C6" w:rsidP="008850C6">
            <w:pPr>
              <w:rPr>
                <w:sz w:val="20"/>
                <w:szCs w:val="20"/>
              </w:rPr>
            </w:pPr>
          </w:p>
        </w:tc>
        <w:tc>
          <w:tcPr>
            <w:tcW w:w="1184" w:type="dxa"/>
          </w:tcPr>
          <w:p w14:paraId="36ED0C5D" w14:textId="77777777" w:rsidR="008850C6" w:rsidRDefault="008850C6" w:rsidP="008850C6">
            <w:pPr>
              <w:jc w:val="center"/>
              <w:rPr>
                <w:sz w:val="20"/>
                <w:szCs w:val="20"/>
              </w:rPr>
            </w:pPr>
          </w:p>
        </w:tc>
      </w:tr>
      <w:tr w:rsidR="00B20B56" w14:paraId="1CDD0BAB" w14:textId="77777777" w:rsidTr="008850C6">
        <w:tc>
          <w:tcPr>
            <w:tcW w:w="720" w:type="dxa"/>
          </w:tcPr>
          <w:p w14:paraId="7F88ACA5" w14:textId="77777777" w:rsidR="00B20B56" w:rsidRDefault="00B20B56" w:rsidP="008850C6">
            <w:pPr>
              <w:jc w:val="center"/>
              <w:rPr>
                <w:sz w:val="20"/>
                <w:szCs w:val="20"/>
              </w:rPr>
            </w:pPr>
          </w:p>
        </w:tc>
        <w:tc>
          <w:tcPr>
            <w:tcW w:w="4320" w:type="dxa"/>
          </w:tcPr>
          <w:p w14:paraId="39542BF4" w14:textId="77777777" w:rsidR="00B20B56" w:rsidRDefault="00B20B56" w:rsidP="008850C6">
            <w:pPr>
              <w:rPr>
                <w:sz w:val="20"/>
                <w:szCs w:val="20"/>
              </w:rPr>
            </w:pPr>
          </w:p>
        </w:tc>
        <w:tc>
          <w:tcPr>
            <w:tcW w:w="4320" w:type="dxa"/>
          </w:tcPr>
          <w:p w14:paraId="6D270CC6" w14:textId="77777777" w:rsidR="00B20B56" w:rsidRDefault="00B20B56" w:rsidP="008850C6">
            <w:pPr>
              <w:rPr>
                <w:sz w:val="20"/>
                <w:szCs w:val="20"/>
              </w:rPr>
            </w:pPr>
          </w:p>
        </w:tc>
        <w:tc>
          <w:tcPr>
            <w:tcW w:w="3168" w:type="dxa"/>
          </w:tcPr>
          <w:p w14:paraId="0E21FFAB" w14:textId="77777777" w:rsidR="00B20B56" w:rsidRDefault="00B20B56" w:rsidP="008850C6">
            <w:pPr>
              <w:rPr>
                <w:sz w:val="20"/>
                <w:szCs w:val="20"/>
              </w:rPr>
            </w:pPr>
          </w:p>
        </w:tc>
        <w:tc>
          <w:tcPr>
            <w:tcW w:w="1184" w:type="dxa"/>
          </w:tcPr>
          <w:p w14:paraId="495A00C9" w14:textId="77777777" w:rsidR="00B20B56" w:rsidRDefault="00B20B56" w:rsidP="008850C6">
            <w:pPr>
              <w:jc w:val="center"/>
              <w:rPr>
                <w:sz w:val="20"/>
                <w:szCs w:val="20"/>
              </w:rPr>
            </w:pPr>
          </w:p>
        </w:tc>
      </w:tr>
      <w:tr w:rsidR="00B20B56" w14:paraId="4F3E7C80" w14:textId="77777777" w:rsidTr="008850C6">
        <w:tc>
          <w:tcPr>
            <w:tcW w:w="720" w:type="dxa"/>
          </w:tcPr>
          <w:p w14:paraId="67156122" w14:textId="77777777" w:rsidR="00B20B56" w:rsidRDefault="00B20B56" w:rsidP="008850C6">
            <w:pPr>
              <w:jc w:val="center"/>
              <w:rPr>
                <w:sz w:val="20"/>
                <w:szCs w:val="20"/>
              </w:rPr>
            </w:pPr>
          </w:p>
        </w:tc>
        <w:tc>
          <w:tcPr>
            <w:tcW w:w="4320" w:type="dxa"/>
          </w:tcPr>
          <w:p w14:paraId="3A3C302A" w14:textId="6B0B7F0C" w:rsidR="00B20B56" w:rsidRPr="00A71A6B" w:rsidRDefault="00A71A6B" w:rsidP="008850C6">
            <w:pPr>
              <w:rPr>
                <w:color w:val="FF0000"/>
                <w:sz w:val="44"/>
                <w:szCs w:val="44"/>
              </w:rPr>
            </w:pPr>
            <w:r w:rsidRPr="00A71A6B">
              <w:rPr>
                <w:color w:val="FF0000"/>
                <w:sz w:val="44"/>
                <w:szCs w:val="44"/>
              </w:rPr>
              <w:t>EXAMPLE</w:t>
            </w:r>
          </w:p>
        </w:tc>
        <w:tc>
          <w:tcPr>
            <w:tcW w:w="4320" w:type="dxa"/>
          </w:tcPr>
          <w:p w14:paraId="32109ACB" w14:textId="55E4C800" w:rsidR="00B20B56" w:rsidRDefault="00A71A6B" w:rsidP="008850C6">
            <w:pPr>
              <w:rPr>
                <w:sz w:val="20"/>
                <w:szCs w:val="20"/>
              </w:rPr>
            </w:pPr>
            <w:r w:rsidRPr="00A71A6B">
              <w:rPr>
                <w:color w:val="FF0000"/>
                <w:sz w:val="44"/>
                <w:szCs w:val="44"/>
              </w:rPr>
              <w:t>EXAMPLE</w:t>
            </w:r>
          </w:p>
        </w:tc>
        <w:tc>
          <w:tcPr>
            <w:tcW w:w="3168" w:type="dxa"/>
          </w:tcPr>
          <w:p w14:paraId="420F27ED" w14:textId="44D99DDD" w:rsidR="00B20B56" w:rsidRDefault="00A71A6B" w:rsidP="008850C6">
            <w:pPr>
              <w:rPr>
                <w:sz w:val="20"/>
                <w:szCs w:val="20"/>
              </w:rPr>
            </w:pPr>
            <w:r w:rsidRPr="00A71A6B">
              <w:rPr>
                <w:color w:val="FF0000"/>
                <w:sz w:val="44"/>
                <w:szCs w:val="44"/>
              </w:rPr>
              <w:t>EXAMPLE</w:t>
            </w:r>
          </w:p>
        </w:tc>
        <w:tc>
          <w:tcPr>
            <w:tcW w:w="1184" w:type="dxa"/>
          </w:tcPr>
          <w:p w14:paraId="5A7B8231" w14:textId="77777777" w:rsidR="00B20B56" w:rsidRDefault="00B20B56" w:rsidP="008850C6">
            <w:pPr>
              <w:jc w:val="center"/>
              <w:rPr>
                <w:sz w:val="20"/>
                <w:szCs w:val="20"/>
              </w:rPr>
            </w:pPr>
          </w:p>
        </w:tc>
      </w:tr>
      <w:tr w:rsidR="00B20B56" w14:paraId="69D1AE03" w14:textId="77777777" w:rsidTr="008850C6">
        <w:tc>
          <w:tcPr>
            <w:tcW w:w="720" w:type="dxa"/>
          </w:tcPr>
          <w:p w14:paraId="2B3B0727" w14:textId="77777777" w:rsidR="00B20B56" w:rsidRDefault="00B20B56" w:rsidP="008850C6">
            <w:pPr>
              <w:jc w:val="center"/>
              <w:rPr>
                <w:sz w:val="20"/>
                <w:szCs w:val="20"/>
              </w:rPr>
            </w:pPr>
          </w:p>
        </w:tc>
        <w:tc>
          <w:tcPr>
            <w:tcW w:w="4320" w:type="dxa"/>
          </w:tcPr>
          <w:p w14:paraId="128E360B" w14:textId="77777777" w:rsidR="00B20B56" w:rsidRDefault="00B20B56" w:rsidP="008850C6">
            <w:pPr>
              <w:rPr>
                <w:sz w:val="20"/>
                <w:szCs w:val="20"/>
              </w:rPr>
            </w:pPr>
          </w:p>
        </w:tc>
        <w:tc>
          <w:tcPr>
            <w:tcW w:w="4320" w:type="dxa"/>
          </w:tcPr>
          <w:p w14:paraId="74BBF36C" w14:textId="77777777" w:rsidR="00B20B56" w:rsidRDefault="00B20B56" w:rsidP="008850C6">
            <w:pPr>
              <w:rPr>
                <w:sz w:val="20"/>
                <w:szCs w:val="20"/>
              </w:rPr>
            </w:pPr>
          </w:p>
        </w:tc>
        <w:tc>
          <w:tcPr>
            <w:tcW w:w="3168" w:type="dxa"/>
          </w:tcPr>
          <w:p w14:paraId="6976759C" w14:textId="77777777" w:rsidR="00B20B56" w:rsidRDefault="00B20B56" w:rsidP="008850C6">
            <w:pPr>
              <w:rPr>
                <w:sz w:val="20"/>
                <w:szCs w:val="20"/>
              </w:rPr>
            </w:pPr>
          </w:p>
        </w:tc>
        <w:tc>
          <w:tcPr>
            <w:tcW w:w="1184" w:type="dxa"/>
          </w:tcPr>
          <w:p w14:paraId="008AD9C9" w14:textId="77777777" w:rsidR="00B20B56" w:rsidRDefault="00B20B56" w:rsidP="008850C6">
            <w:pPr>
              <w:jc w:val="center"/>
              <w:rPr>
                <w:sz w:val="20"/>
                <w:szCs w:val="20"/>
              </w:rPr>
            </w:pPr>
          </w:p>
        </w:tc>
      </w:tr>
      <w:tr w:rsidR="00B20B56" w14:paraId="5C8C988A" w14:textId="77777777" w:rsidTr="008850C6">
        <w:tc>
          <w:tcPr>
            <w:tcW w:w="720" w:type="dxa"/>
          </w:tcPr>
          <w:p w14:paraId="2C0D998F" w14:textId="77777777" w:rsidR="00B20B56" w:rsidRDefault="00B20B56" w:rsidP="008850C6">
            <w:pPr>
              <w:jc w:val="center"/>
              <w:rPr>
                <w:sz w:val="20"/>
                <w:szCs w:val="20"/>
              </w:rPr>
            </w:pPr>
          </w:p>
        </w:tc>
        <w:tc>
          <w:tcPr>
            <w:tcW w:w="4320" w:type="dxa"/>
          </w:tcPr>
          <w:p w14:paraId="20C8DA8B" w14:textId="77777777" w:rsidR="00B20B56" w:rsidRDefault="00B20B56" w:rsidP="008850C6">
            <w:pPr>
              <w:rPr>
                <w:sz w:val="20"/>
                <w:szCs w:val="20"/>
              </w:rPr>
            </w:pPr>
          </w:p>
        </w:tc>
        <w:tc>
          <w:tcPr>
            <w:tcW w:w="4320" w:type="dxa"/>
          </w:tcPr>
          <w:p w14:paraId="5474C6EF" w14:textId="77777777" w:rsidR="00B20B56" w:rsidRDefault="00B20B56" w:rsidP="008850C6">
            <w:pPr>
              <w:rPr>
                <w:sz w:val="20"/>
                <w:szCs w:val="20"/>
              </w:rPr>
            </w:pPr>
          </w:p>
        </w:tc>
        <w:tc>
          <w:tcPr>
            <w:tcW w:w="3168" w:type="dxa"/>
          </w:tcPr>
          <w:p w14:paraId="1F00A0C2" w14:textId="77777777" w:rsidR="00B20B56" w:rsidRDefault="00B20B56" w:rsidP="008850C6">
            <w:pPr>
              <w:rPr>
                <w:sz w:val="20"/>
                <w:szCs w:val="20"/>
              </w:rPr>
            </w:pPr>
          </w:p>
        </w:tc>
        <w:tc>
          <w:tcPr>
            <w:tcW w:w="1184" w:type="dxa"/>
          </w:tcPr>
          <w:p w14:paraId="7623F576" w14:textId="77777777" w:rsidR="00B20B56" w:rsidRDefault="00B20B56" w:rsidP="008850C6">
            <w:pPr>
              <w:jc w:val="center"/>
              <w:rPr>
                <w:sz w:val="20"/>
                <w:szCs w:val="20"/>
              </w:rPr>
            </w:pPr>
          </w:p>
        </w:tc>
      </w:tr>
      <w:tr w:rsidR="00B20B56" w14:paraId="26EB6C6A" w14:textId="77777777" w:rsidTr="008850C6">
        <w:tc>
          <w:tcPr>
            <w:tcW w:w="720" w:type="dxa"/>
          </w:tcPr>
          <w:p w14:paraId="18C4DCE6" w14:textId="77777777" w:rsidR="00B20B56" w:rsidRDefault="00B20B56" w:rsidP="008850C6">
            <w:pPr>
              <w:jc w:val="center"/>
              <w:rPr>
                <w:sz w:val="20"/>
                <w:szCs w:val="20"/>
              </w:rPr>
            </w:pPr>
          </w:p>
        </w:tc>
        <w:tc>
          <w:tcPr>
            <w:tcW w:w="4320" w:type="dxa"/>
          </w:tcPr>
          <w:p w14:paraId="535B1335" w14:textId="77777777" w:rsidR="00B20B56" w:rsidRDefault="00B20B56" w:rsidP="008850C6">
            <w:pPr>
              <w:rPr>
                <w:sz w:val="20"/>
                <w:szCs w:val="20"/>
              </w:rPr>
            </w:pPr>
          </w:p>
        </w:tc>
        <w:tc>
          <w:tcPr>
            <w:tcW w:w="4320" w:type="dxa"/>
          </w:tcPr>
          <w:p w14:paraId="67FCC62C" w14:textId="77777777" w:rsidR="00B20B56" w:rsidRDefault="00B20B56" w:rsidP="008850C6">
            <w:pPr>
              <w:rPr>
                <w:sz w:val="20"/>
                <w:szCs w:val="20"/>
              </w:rPr>
            </w:pPr>
          </w:p>
        </w:tc>
        <w:tc>
          <w:tcPr>
            <w:tcW w:w="3168" w:type="dxa"/>
          </w:tcPr>
          <w:p w14:paraId="674B71BB" w14:textId="77777777" w:rsidR="00B20B56" w:rsidRDefault="00B20B56" w:rsidP="008850C6">
            <w:pPr>
              <w:rPr>
                <w:sz w:val="20"/>
                <w:szCs w:val="20"/>
              </w:rPr>
            </w:pPr>
          </w:p>
        </w:tc>
        <w:tc>
          <w:tcPr>
            <w:tcW w:w="1184" w:type="dxa"/>
          </w:tcPr>
          <w:p w14:paraId="5456F46A" w14:textId="77777777" w:rsidR="00B20B56" w:rsidRDefault="00B20B56" w:rsidP="008850C6">
            <w:pPr>
              <w:jc w:val="center"/>
              <w:rPr>
                <w:sz w:val="20"/>
                <w:szCs w:val="20"/>
              </w:rPr>
            </w:pPr>
          </w:p>
        </w:tc>
      </w:tr>
      <w:tr w:rsidR="008850C6" w14:paraId="196199CF" w14:textId="77777777" w:rsidTr="008850C6">
        <w:tc>
          <w:tcPr>
            <w:tcW w:w="720" w:type="dxa"/>
          </w:tcPr>
          <w:p w14:paraId="30AAD32F" w14:textId="77777777" w:rsidR="008850C6" w:rsidRDefault="008850C6" w:rsidP="008850C6">
            <w:pPr>
              <w:jc w:val="center"/>
              <w:rPr>
                <w:sz w:val="20"/>
                <w:szCs w:val="20"/>
              </w:rPr>
            </w:pPr>
          </w:p>
        </w:tc>
        <w:tc>
          <w:tcPr>
            <w:tcW w:w="4320" w:type="dxa"/>
          </w:tcPr>
          <w:p w14:paraId="24748027" w14:textId="77777777" w:rsidR="008850C6" w:rsidRDefault="008850C6" w:rsidP="008850C6">
            <w:pPr>
              <w:rPr>
                <w:sz w:val="20"/>
                <w:szCs w:val="20"/>
              </w:rPr>
            </w:pPr>
          </w:p>
        </w:tc>
        <w:tc>
          <w:tcPr>
            <w:tcW w:w="4320" w:type="dxa"/>
          </w:tcPr>
          <w:p w14:paraId="246515FC" w14:textId="77777777" w:rsidR="008850C6" w:rsidRDefault="008850C6" w:rsidP="008850C6">
            <w:pPr>
              <w:rPr>
                <w:sz w:val="20"/>
                <w:szCs w:val="20"/>
              </w:rPr>
            </w:pPr>
          </w:p>
        </w:tc>
        <w:tc>
          <w:tcPr>
            <w:tcW w:w="3168" w:type="dxa"/>
          </w:tcPr>
          <w:p w14:paraId="550938C4" w14:textId="77777777" w:rsidR="008850C6" w:rsidRDefault="008850C6" w:rsidP="008850C6">
            <w:pPr>
              <w:rPr>
                <w:sz w:val="20"/>
                <w:szCs w:val="20"/>
              </w:rPr>
            </w:pPr>
          </w:p>
        </w:tc>
        <w:tc>
          <w:tcPr>
            <w:tcW w:w="1184" w:type="dxa"/>
          </w:tcPr>
          <w:p w14:paraId="5DD39756" w14:textId="77777777" w:rsidR="008850C6" w:rsidRDefault="008850C6" w:rsidP="008850C6">
            <w:pPr>
              <w:jc w:val="center"/>
              <w:rPr>
                <w:sz w:val="20"/>
                <w:szCs w:val="20"/>
              </w:rPr>
            </w:pPr>
          </w:p>
        </w:tc>
      </w:tr>
      <w:tr w:rsidR="008850C6" w14:paraId="3FB235D9" w14:textId="77777777" w:rsidTr="008850C6">
        <w:tc>
          <w:tcPr>
            <w:tcW w:w="720" w:type="dxa"/>
          </w:tcPr>
          <w:p w14:paraId="50564C53" w14:textId="77777777" w:rsidR="008850C6" w:rsidRDefault="008850C6" w:rsidP="008850C6">
            <w:pPr>
              <w:jc w:val="center"/>
              <w:rPr>
                <w:sz w:val="20"/>
                <w:szCs w:val="20"/>
              </w:rPr>
            </w:pPr>
          </w:p>
        </w:tc>
        <w:tc>
          <w:tcPr>
            <w:tcW w:w="4320" w:type="dxa"/>
          </w:tcPr>
          <w:p w14:paraId="19BAF9DA" w14:textId="77777777" w:rsidR="008850C6" w:rsidRDefault="008850C6" w:rsidP="008850C6">
            <w:pPr>
              <w:rPr>
                <w:sz w:val="20"/>
                <w:szCs w:val="20"/>
              </w:rPr>
            </w:pPr>
          </w:p>
        </w:tc>
        <w:tc>
          <w:tcPr>
            <w:tcW w:w="4320" w:type="dxa"/>
          </w:tcPr>
          <w:p w14:paraId="350FD0AD" w14:textId="77777777" w:rsidR="008850C6" w:rsidRDefault="008850C6" w:rsidP="008850C6">
            <w:pPr>
              <w:rPr>
                <w:sz w:val="20"/>
                <w:szCs w:val="20"/>
              </w:rPr>
            </w:pPr>
          </w:p>
        </w:tc>
        <w:tc>
          <w:tcPr>
            <w:tcW w:w="3168" w:type="dxa"/>
          </w:tcPr>
          <w:p w14:paraId="3AC54454" w14:textId="77777777" w:rsidR="008850C6" w:rsidRDefault="008850C6" w:rsidP="008850C6">
            <w:pPr>
              <w:rPr>
                <w:sz w:val="20"/>
                <w:szCs w:val="20"/>
              </w:rPr>
            </w:pPr>
          </w:p>
        </w:tc>
        <w:tc>
          <w:tcPr>
            <w:tcW w:w="1184" w:type="dxa"/>
          </w:tcPr>
          <w:p w14:paraId="3CDB2F4B" w14:textId="77777777" w:rsidR="008850C6" w:rsidRDefault="008850C6" w:rsidP="008850C6">
            <w:pPr>
              <w:jc w:val="center"/>
              <w:rPr>
                <w:sz w:val="20"/>
                <w:szCs w:val="20"/>
              </w:rPr>
            </w:pPr>
          </w:p>
        </w:tc>
      </w:tr>
      <w:tr w:rsidR="008850C6" w14:paraId="0792DCA6" w14:textId="77777777" w:rsidTr="008850C6">
        <w:tc>
          <w:tcPr>
            <w:tcW w:w="720" w:type="dxa"/>
          </w:tcPr>
          <w:p w14:paraId="32C8AB5C" w14:textId="77777777" w:rsidR="008850C6" w:rsidRDefault="008850C6" w:rsidP="008850C6">
            <w:pPr>
              <w:jc w:val="center"/>
              <w:rPr>
                <w:sz w:val="20"/>
                <w:szCs w:val="20"/>
              </w:rPr>
            </w:pPr>
          </w:p>
        </w:tc>
        <w:tc>
          <w:tcPr>
            <w:tcW w:w="4320" w:type="dxa"/>
          </w:tcPr>
          <w:p w14:paraId="5762C6FB" w14:textId="77777777" w:rsidR="008850C6" w:rsidRDefault="008850C6" w:rsidP="008850C6">
            <w:pPr>
              <w:rPr>
                <w:sz w:val="20"/>
                <w:szCs w:val="20"/>
              </w:rPr>
            </w:pPr>
          </w:p>
        </w:tc>
        <w:tc>
          <w:tcPr>
            <w:tcW w:w="4320" w:type="dxa"/>
          </w:tcPr>
          <w:p w14:paraId="03786DDE" w14:textId="77777777" w:rsidR="008850C6" w:rsidRDefault="008850C6" w:rsidP="008850C6">
            <w:pPr>
              <w:rPr>
                <w:sz w:val="20"/>
                <w:szCs w:val="20"/>
              </w:rPr>
            </w:pPr>
          </w:p>
        </w:tc>
        <w:tc>
          <w:tcPr>
            <w:tcW w:w="3168" w:type="dxa"/>
          </w:tcPr>
          <w:p w14:paraId="3E1B9997" w14:textId="77777777" w:rsidR="008850C6" w:rsidRDefault="008850C6" w:rsidP="008850C6">
            <w:pPr>
              <w:rPr>
                <w:sz w:val="20"/>
                <w:szCs w:val="20"/>
              </w:rPr>
            </w:pPr>
          </w:p>
        </w:tc>
        <w:tc>
          <w:tcPr>
            <w:tcW w:w="1184" w:type="dxa"/>
          </w:tcPr>
          <w:p w14:paraId="43E01BAF" w14:textId="77777777" w:rsidR="008850C6" w:rsidRDefault="008850C6" w:rsidP="008850C6">
            <w:pPr>
              <w:jc w:val="center"/>
              <w:rPr>
                <w:sz w:val="20"/>
                <w:szCs w:val="20"/>
              </w:rPr>
            </w:pPr>
          </w:p>
        </w:tc>
      </w:tr>
    </w:tbl>
    <w:p w14:paraId="28277824" w14:textId="77777777" w:rsidR="00782547" w:rsidRPr="002F7F82" w:rsidRDefault="00782547">
      <w:pPr>
        <w:rPr>
          <w:sz w:val="20"/>
          <w:szCs w:val="20"/>
        </w:rPr>
      </w:pPr>
    </w:p>
    <w:sectPr w:rsidR="00782547" w:rsidRPr="002F7F82" w:rsidSect="00CE6BC8">
      <w:footerReference w:type="default" r:id="rId9"/>
      <w:pgSz w:w="15840" w:h="12240" w:orient="landscape" w:code="1"/>
      <w:pgMar w:top="720" w:right="864"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7973" w14:textId="77777777" w:rsidR="00794AEB" w:rsidRDefault="00794AEB">
      <w:r>
        <w:separator/>
      </w:r>
    </w:p>
  </w:endnote>
  <w:endnote w:type="continuationSeparator" w:id="0">
    <w:p w14:paraId="30D52DAD" w14:textId="77777777" w:rsidR="00794AEB" w:rsidRDefault="0079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BCE5" w14:textId="77777777" w:rsidR="00122508" w:rsidRPr="00DB0527" w:rsidRDefault="00122508" w:rsidP="007A22D4">
    <w:pPr>
      <w:pStyle w:val="Footer"/>
      <w:tabs>
        <w:tab w:val="clear" w:pos="4320"/>
        <w:tab w:val="clear" w:pos="8640"/>
        <w:tab w:val="right" w:pos="13680"/>
      </w:tabs>
      <w:jc w:val="both"/>
      <w:rPr>
        <w:sz w:val="18"/>
        <w:szCs w:val="18"/>
      </w:rPr>
    </w:pPr>
    <w:r w:rsidRPr="00DB0527">
      <w:rPr>
        <w:sz w:val="18"/>
        <w:szCs w:val="18"/>
      </w:rPr>
      <w:t>20</w:t>
    </w:r>
    <w:r w:rsidR="00E363D8">
      <w:rPr>
        <w:sz w:val="18"/>
        <w:szCs w:val="18"/>
      </w:rPr>
      <w:t>17</w:t>
    </w:r>
    <w:r w:rsidR="007A22D4" w:rsidRPr="00DB0527">
      <w:rPr>
        <w:sz w:val="18"/>
        <w:szCs w:val="18"/>
      </w:rPr>
      <w:t xml:space="preserve"> </w:t>
    </w:r>
    <w:r w:rsidR="00DB0527" w:rsidRPr="00DB0527">
      <w:rPr>
        <w:sz w:val="18"/>
        <w:szCs w:val="18"/>
      </w:rPr>
      <w:t>Proposed Rule Changes</w:t>
    </w:r>
    <w:r w:rsidR="00DB0527" w:rsidRPr="00DB0527">
      <w:rPr>
        <w:sz w:val="18"/>
        <w:szCs w:val="18"/>
      </w:rPr>
      <w:tab/>
    </w:r>
    <w:r w:rsidRPr="00DB0527">
      <w:rPr>
        <w:sz w:val="18"/>
        <w:szCs w:val="18"/>
      </w:rPr>
      <w:t xml:space="preserve">Page </w:t>
    </w:r>
    <w:r w:rsidRPr="00DB0527">
      <w:rPr>
        <w:rStyle w:val="PageNumber"/>
        <w:sz w:val="18"/>
        <w:szCs w:val="18"/>
      </w:rPr>
      <w:fldChar w:fldCharType="begin"/>
    </w:r>
    <w:r w:rsidRPr="00DB0527">
      <w:rPr>
        <w:rStyle w:val="PageNumber"/>
        <w:sz w:val="18"/>
        <w:szCs w:val="18"/>
      </w:rPr>
      <w:instrText xml:space="preserve"> PAGE </w:instrText>
    </w:r>
    <w:r w:rsidRPr="00DB0527">
      <w:rPr>
        <w:rStyle w:val="PageNumber"/>
        <w:sz w:val="18"/>
        <w:szCs w:val="18"/>
      </w:rPr>
      <w:fldChar w:fldCharType="separate"/>
    </w:r>
    <w:r w:rsidR="005C0F6F">
      <w:rPr>
        <w:rStyle w:val="PageNumber"/>
        <w:noProof/>
        <w:sz w:val="18"/>
        <w:szCs w:val="18"/>
      </w:rPr>
      <w:t>1</w:t>
    </w:r>
    <w:r w:rsidRPr="00DB052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35B3" w14:textId="77777777" w:rsidR="00794AEB" w:rsidRDefault="00794AEB">
      <w:r>
        <w:separator/>
      </w:r>
    </w:p>
  </w:footnote>
  <w:footnote w:type="continuationSeparator" w:id="0">
    <w:p w14:paraId="36FDE9E4" w14:textId="77777777" w:rsidR="00794AEB" w:rsidRDefault="0079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C39"/>
    <w:multiLevelType w:val="hybridMultilevel"/>
    <w:tmpl w:val="3D009B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DBF7D26"/>
    <w:multiLevelType w:val="hybridMultilevel"/>
    <w:tmpl w:val="E3CC953A"/>
    <w:lvl w:ilvl="0" w:tplc="A7BC8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02D0"/>
    <w:multiLevelType w:val="hybridMultilevel"/>
    <w:tmpl w:val="E5301C82"/>
    <w:lvl w:ilvl="0" w:tplc="E9BA24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76DB7"/>
    <w:multiLevelType w:val="hybridMultilevel"/>
    <w:tmpl w:val="1CDEF7BA"/>
    <w:lvl w:ilvl="0" w:tplc="10E69A1C">
      <w:start w:val="1"/>
      <w:numFmt w:val="decimal"/>
      <w:lvlText w:val="%1."/>
      <w:lvlJc w:val="left"/>
      <w:pPr>
        <w:tabs>
          <w:tab w:val="num" w:pos="1080"/>
        </w:tabs>
        <w:ind w:left="1080" w:hanging="360"/>
      </w:pPr>
      <w:rPr>
        <w:rFonts w:cs="Times New Roman" w:hint="default"/>
      </w:rPr>
    </w:lvl>
    <w:lvl w:ilvl="1" w:tplc="2040BA5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6803E2C"/>
    <w:multiLevelType w:val="hybridMultilevel"/>
    <w:tmpl w:val="3CF4BD9A"/>
    <w:lvl w:ilvl="0" w:tplc="40D0E802">
      <w:start w:val="1"/>
      <w:numFmt w:val="upperRoman"/>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B1466"/>
    <w:multiLevelType w:val="hybridMultilevel"/>
    <w:tmpl w:val="68584DAE"/>
    <w:lvl w:ilvl="0" w:tplc="7C729E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75063"/>
    <w:multiLevelType w:val="hybridMultilevel"/>
    <w:tmpl w:val="70B8BCAE"/>
    <w:lvl w:ilvl="0" w:tplc="8736960C">
      <w:start w:val="2"/>
      <w:numFmt w:val="upperLetter"/>
      <w:lvlText w:val="%1."/>
      <w:lvlJc w:val="left"/>
      <w:pPr>
        <w:tabs>
          <w:tab w:val="num" w:pos="1080"/>
        </w:tabs>
        <w:ind w:left="1080" w:hanging="360"/>
      </w:pPr>
      <w:rPr>
        <w:rFonts w:cs="Times New Roman" w:hint="default"/>
      </w:rPr>
    </w:lvl>
    <w:lvl w:ilvl="1" w:tplc="1822431A">
      <w:start w:val="1"/>
      <w:numFmt w:val="decimal"/>
      <w:lvlText w:val="%2."/>
      <w:lvlJc w:val="left"/>
      <w:pPr>
        <w:tabs>
          <w:tab w:val="num" w:pos="1890"/>
        </w:tabs>
        <w:ind w:left="1890" w:hanging="360"/>
      </w:pPr>
      <w:rPr>
        <w:rFonts w:cs="Times New Roman" w:hint="default"/>
        <w:color w:val="auto"/>
      </w:rPr>
    </w:lvl>
    <w:lvl w:ilvl="2" w:tplc="04090019">
      <w:start w:val="1"/>
      <w:numFmt w:val="lowerLetter"/>
      <w:lvlText w:val="%3."/>
      <w:lvlJc w:val="left"/>
      <w:pPr>
        <w:tabs>
          <w:tab w:val="num" w:pos="2790"/>
        </w:tabs>
        <w:ind w:left="2790" w:hanging="360"/>
      </w:pPr>
      <w:rPr>
        <w:rFonts w:cs="Times New Roman" w:hint="default"/>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 w15:restartNumberingAfterBreak="0">
    <w:nsid w:val="457B44CE"/>
    <w:multiLevelType w:val="hybridMultilevel"/>
    <w:tmpl w:val="EE1E95E4"/>
    <w:lvl w:ilvl="0" w:tplc="36FE0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E3FA5"/>
    <w:multiLevelType w:val="hybridMultilevel"/>
    <w:tmpl w:val="A40A96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EB4A42"/>
    <w:multiLevelType w:val="hybridMultilevel"/>
    <w:tmpl w:val="896098E0"/>
    <w:lvl w:ilvl="0" w:tplc="9432CC06">
      <w:start w:val="1"/>
      <w:numFmt w:val="upp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A914FEE"/>
    <w:multiLevelType w:val="hybridMultilevel"/>
    <w:tmpl w:val="4A22557C"/>
    <w:lvl w:ilvl="0" w:tplc="36FE0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76918"/>
    <w:multiLevelType w:val="singleLevel"/>
    <w:tmpl w:val="594C5114"/>
    <w:lvl w:ilvl="0">
      <w:start w:val="3"/>
      <w:numFmt w:val="decimal"/>
      <w:lvlText w:val="%1."/>
      <w:lvlJc w:val="left"/>
      <w:pPr>
        <w:tabs>
          <w:tab w:val="num" w:pos="660"/>
        </w:tabs>
        <w:ind w:left="660" w:hanging="360"/>
      </w:pPr>
      <w:rPr>
        <w:rFonts w:cs="Times New Roman" w:hint="default"/>
      </w:rPr>
    </w:lvl>
  </w:abstractNum>
  <w:abstractNum w:abstractNumId="12" w15:restartNumberingAfterBreak="0">
    <w:nsid w:val="6D192BC5"/>
    <w:multiLevelType w:val="hybridMultilevel"/>
    <w:tmpl w:val="020CE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61DAC"/>
    <w:multiLevelType w:val="hybridMultilevel"/>
    <w:tmpl w:val="67DCBCC8"/>
    <w:lvl w:ilvl="0" w:tplc="AD66BDEC">
      <w:start w:val="1"/>
      <w:numFmt w:val="decimal"/>
      <w:lvlText w:val="%1."/>
      <w:lvlJc w:val="left"/>
      <w:pPr>
        <w:tabs>
          <w:tab w:val="num" w:pos="1080"/>
        </w:tabs>
        <w:ind w:left="1080" w:hanging="360"/>
      </w:pPr>
      <w:rPr>
        <w:rFonts w:cs="Times New Roman"/>
      </w:rPr>
    </w:lvl>
    <w:lvl w:ilvl="1" w:tplc="CCFC62F0">
      <w:start w:val="2"/>
      <w:numFmt w:val="upperRoman"/>
      <w:lvlText w:val="%2."/>
      <w:lvlJc w:val="left"/>
      <w:pPr>
        <w:tabs>
          <w:tab w:val="num" w:pos="2160"/>
        </w:tabs>
        <w:ind w:left="216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7ADB6FFB"/>
    <w:multiLevelType w:val="hybridMultilevel"/>
    <w:tmpl w:val="42BC7BB0"/>
    <w:lvl w:ilvl="0" w:tplc="B2120208">
      <w:start w:val="2"/>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1"/>
  </w:num>
  <w:num w:numId="2">
    <w:abstractNumId w:val="12"/>
  </w:num>
  <w:num w:numId="3">
    <w:abstractNumId w:val="8"/>
  </w:num>
  <w:num w:numId="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0"/>
  </w:num>
  <w:num w:numId="10">
    <w:abstractNumId w:val="7"/>
  </w:num>
  <w:num w:numId="11">
    <w:abstractNumId w:val="10"/>
  </w:num>
  <w:num w:numId="12">
    <w:abstractNumId w:val="4"/>
  </w:num>
  <w:num w:numId="13">
    <w:abstractNumId w:val="2"/>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50"/>
    <w:rsid w:val="0000768C"/>
    <w:rsid w:val="000115B9"/>
    <w:rsid w:val="000173D5"/>
    <w:rsid w:val="00037C80"/>
    <w:rsid w:val="00050257"/>
    <w:rsid w:val="0006620B"/>
    <w:rsid w:val="00095654"/>
    <w:rsid w:val="000B2398"/>
    <w:rsid w:val="000B39B2"/>
    <w:rsid w:val="000D4967"/>
    <w:rsid w:val="000E0FA3"/>
    <w:rsid w:val="000E7DB4"/>
    <w:rsid w:val="001108E4"/>
    <w:rsid w:val="00122508"/>
    <w:rsid w:val="00157656"/>
    <w:rsid w:val="0017599B"/>
    <w:rsid w:val="001C5B99"/>
    <w:rsid w:val="001E4498"/>
    <w:rsid w:val="001E7561"/>
    <w:rsid w:val="00240F32"/>
    <w:rsid w:val="002A6964"/>
    <w:rsid w:val="002C2462"/>
    <w:rsid w:val="002F2EEA"/>
    <w:rsid w:val="002F7F82"/>
    <w:rsid w:val="00313FF6"/>
    <w:rsid w:val="0035092A"/>
    <w:rsid w:val="0037711C"/>
    <w:rsid w:val="00392733"/>
    <w:rsid w:val="003B0FCD"/>
    <w:rsid w:val="003C295B"/>
    <w:rsid w:val="00415FFA"/>
    <w:rsid w:val="00417610"/>
    <w:rsid w:val="00427704"/>
    <w:rsid w:val="0044131A"/>
    <w:rsid w:val="00450C64"/>
    <w:rsid w:val="00462474"/>
    <w:rsid w:val="00493636"/>
    <w:rsid w:val="00493B7E"/>
    <w:rsid w:val="004D70D5"/>
    <w:rsid w:val="004E4948"/>
    <w:rsid w:val="004F6740"/>
    <w:rsid w:val="00532250"/>
    <w:rsid w:val="00534873"/>
    <w:rsid w:val="0055156F"/>
    <w:rsid w:val="005815C4"/>
    <w:rsid w:val="005A6D1F"/>
    <w:rsid w:val="005B2955"/>
    <w:rsid w:val="005C0F6F"/>
    <w:rsid w:val="005C5A30"/>
    <w:rsid w:val="005D4056"/>
    <w:rsid w:val="005E56C8"/>
    <w:rsid w:val="005F7D0D"/>
    <w:rsid w:val="00610F25"/>
    <w:rsid w:val="00617512"/>
    <w:rsid w:val="00621C05"/>
    <w:rsid w:val="00674926"/>
    <w:rsid w:val="00695910"/>
    <w:rsid w:val="006A249F"/>
    <w:rsid w:val="006E2D09"/>
    <w:rsid w:val="00714B4B"/>
    <w:rsid w:val="007151A2"/>
    <w:rsid w:val="00723BF6"/>
    <w:rsid w:val="00743357"/>
    <w:rsid w:val="00744B7D"/>
    <w:rsid w:val="00764198"/>
    <w:rsid w:val="00774DBE"/>
    <w:rsid w:val="00782547"/>
    <w:rsid w:val="007871F4"/>
    <w:rsid w:val="00792BA9"/>
    <w:rsid w:val="00794AEB"/>
    <w:rsid w:val="007A22D4"/>
    <w:rsid w:val="007A4C25"/>
    <w:rsid w:val="007C3999"/>
    <w:rsid w:val="008074A9"/>
    <w:rsid w:val="00835736"/>
    <w:rsid w:val="0085769B"/>
    <w:rsid w:val="00876CDC"/>
    <w:rsid w:val="008770C7"/>
    <w:rsid w:val="008850C6"/>
    <w:rsid w:val="008B6FC3"/>
    <w:rsid w:val="008B7AF5"/>
    <w:rsid w:val="008D0174"/>
    <w:rsid w:val="008D62FC"/>
    <w:rsid w:val="009102CE"/>
    <w:rsid w:val="0091334B"/>
    <w:rsid w:val="009139A6"/>
    <w:rsid w:val="00915275"/>
    <w:rsid w:val="00980EC5"/>
    <w:rsid w:val="00982D8E"/>
    <w:rsid w:val="009A46CB"/>
    <w:rsid w:val="009B6FDE"/>
    <w:rsid w:val="009E24BA"/>
    <w:rsid w:val="009E391A"/>
    <w:rsid w:val="009F0569"/>
    <w:rsid w:val="00A4098B"/>
    <w:rsid w:val="00A71A6B"/>
    <w:rsid w:val="00AC1F68"/>
    <w:rsid w:val="00AC4376"/>
    <w:rsid w:val="00B203B1"/>
    <w:rsid w:val="00B20B56"/>
    <w:rsid w:val="00B307CF"/>
    <w:rsid w:val="00B60D0A"/>
    <w:rsid w:val="00BB499C"/>
    <w:rsid w:val="00BC4083"/>
    <w:rsid w:val="00BE0BD1"/>
    <w:rsid w:val="00BE6902"/>
    <w:rsid w:val="00BF1CE8"/>
    <w:rsid w:val="00C131CC"/>
    <w:rsid w:val="00C31B18"/>
    <w:rsid w:val="00C422C8"/>
    <w:rsid w:val="00C503A9"/>
    <w:rsid w:val="00C72EC6"/>
    <w:rsid w:val="00C73691"/>
    <w:rsid w:val="00CB35E7"/>
    <w:rsid w:val="00CD1D7B"/>
    <w:rsid w:val="00CE6BC8"/>
    <w:rsid w:val="00D00AE0"/>
    <w:rsid w:val="00D134E3"/>
    <w:rsid w:val="00D22712"/>
    <w:rsid w:val="00D66806"/>
    <w:rsid w:val="00D91EDB"/>
    <w:rsid w:val="00DA2CD1"/>
    <w:rsid w:val="00DA5BC1"/>
    <w:rsid w:val="00DB0527"/>
    <w:rsid w:val="00DF09C0"/>
    <w:rsid w:val="00DF4DBB"/>
    <w:rsid w:val="00E03ADE"/>
    <w:rsid w:val="00E03E04"/>
    <w:rsid w:val="00E17474"/>
    <w:rsid w:val="00E305A7"/>
    <w:rsid w:val="00E363D8"/>
    <w:rsid w:val="00E8594E"/>
    <w:rsid w:val="00EA2C90"/>
    <w:rsid w:val="00EB0863"/>
    <w:rsid w:val="00ED6844"/>
    <w:rsid w:val="00EF1617"/>
    <w:rsid w:val="00EF31B7"/>
    <w:rsid w:val="00F027B5"/>
    <w:rsid w:val="00F10A4B"/>
    <w:rsid w:val="00F31CFB"/>
    <w:rsid w:val="00F46A1E"/>
    <w:rsid w:val="00F63751"/>
    <w:rsid w:val="00F83FC3"/>
    <w:rsid w:val="00FB0BC3"/>
    <w:rsid w:val="00FB12DC"/>
    <w:rsid w:val="00FC1797"/>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5C9ED"/>
  <w15:docId w15:val="{AB3E8ED4-6BE6-4C85-B01E-ACFE8589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32"/>
        <w:tab w:val="left" w:pos="882"/>
        <w:tab w:val="left" w:pos="1176"/>
        <w:tab w:val="left" w:pos="1440"/>
        <w:tab w:val="left" w:pos="1764"/>
        <w:tab w:val="left" w:pos="2058"/>
        <w:tab w:val="left" w:pos="2352"/>
        <w:tab w:val="left" w:pos="2646"/>
        <w:tab w:val="left" w:pos="2940"/>
        <w:tab w:val="left" w:pos="3234"/>
        <w:tab w:val="left" w:pos="3528"/>
        <w:tab w:val="left" w:pos="3822"/>
        <w:tab w:val="left" w:pos="4116"/>
        <w:tab w:val="left" w:pos="4410"/>
        <w:tab w:val="left" w:pos="4704"/>
        <w:tab w:val="left" w:pos="4998"/>
      </w:tabs>
      <w:suppressAutoHyphens/>
      <w:jc w:val="both"/>
    </w:pPr>
    <w:rPr>
      <w:rFonts w:ascii="Arial" w:hAnsi="Arial" w:cs="Arial"/>
      <w:spacing w:val="-2"/>
      <w:sz w:val="20"/>
      <w:szCs w:val="20"/>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2">
    <w:name w:val="Body Text 2"/>
    <w:basedOn w:val="Normal"/>
    <w:link w:val="BodyText2Char"/>
    <w:uiPriority w:val="99"/>
    <w:pPr>
      <w:tabs>
        <w:tab w:val="left" w:pos="-720"/>
        <w:tab w:val="left" w:pos="0"/>
        <w:tab w:val="left" w:pos="588"/>
        <w:tab w:val="left" w:pos="882"/>
        <w:tab w:val="left" w:pos="1176"/>
        <w:tab w:val="left" w:pos="1440"/>
        <w:tab w:val="left" w:pos="1764"/>
        <w:tab w:val="left" w:pos="2058"/>
        <w:tab w:val="left" w:pos="2352"/>
        <w:tab w:val="left" w:pos="2646"/>
        <w:tab w:val="left" w:pos="2940"/>
        <w:tab w:val="left" w:pos="3234"/>
        <w:tab w:val="left" w:pos="3528"/>
        <w:tab w:val="left" w:pos="3822"/>
      </w:tabs>
      <w:suppressAutoHyphens/>
    </w:pPr>
    <w:rPr>
      <w:rFonts w:ascii="Arial" w:hAnsi="Arial" w:cs="Arial"/>
      <w:spacing w:val="-2"/>
      <w:sz w:val="20"/>
      <w:szCs w:val="20"/>
    </w:rPr>
  </w:style>
  <w:style w:type="character" w:customStyle="1" w:styleId="BodyText2Char">
    <w:name w:val="Body Text 2 Char"/>
    <w:link w:val="BodyText2"/>
    <w:uiPriority w:val="99"/>
    <w:semiHidden/>
    <w:rPr>
      <w:sz w:val="24"/>
      <w:szCs w:val="24"/>
    </w:rPr>
  </w:style>
  <w:style w:type="paragraph" w:styleId="EndnoteText">
    <w:name w:val="endnote text"/>
    <w:basedOn w:val="Normal"/>
    <w:link w:val="EndnoteTextChar"/>
    <w:uiPriority w:val="99"/>
    <w:semiHidden/>
    <w:pPr>
      <w:widowControl w:val="0"/>
    </w:pPr>
    <w:rPr>
      <w:rFonts w:ascii="Univers" w:hAnsi="Univers" w:cs="Univers"/>
    </w:rPr>
  </w:style>
  <w:style w:type="character" w:customStyle="1" w:styleId="EndnoteTextChar">
    <w:name w:val="Endnote Text Char"/>
    <w:link w:val="Endnote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rPr>
      <w:rFonts w:cs="Times New Roman"/>
    </w:rPr>
  </w:style>
  <w:style w:type="paragraph" w:customStyle="1" w:styleId="DefaultText">
    <w:name w:val="Default Text"/>
    <w:basedOn w:val="Normal"/>
    <w:uiPriority w:val="99"/>
    <w:rsid w:val="00CB35E7"/>
    <w:pPr>
      <w:overflowPunct w:val="0"/>
      <w:autoSpaceDE w:val="0"/>
      <w:autoSpaceDN w:val="0"/>
      <w:adjustRightInd w:val="0"/>
      <w:textAlignment w:val="baseline"/>
    </w:pPr>
  </w:style>
  <w:style w:type="character" w:styleId="Hyperlink">
    <w:name w:val="Hyperlink"/>
    <w:uiPriority w:val="99"/>
    <w:rsid w:val="00095654"/>
    <w:rPr>
      <w:rFonts w:cs="Times New Roman"/>
      <w:color w:val="0000FF"/>
      <w:u w:val="single"/>
    </w:rPr>
  </w:style>
  <w:style w:type="paragraph" w:customStyle="1" w:styleId="ecmsonormal">
    <w:name w:val="ec_msonormal"/>
    <w:basedOn w:val="Normal"/>
    <w:uiPriority w:val="99"/>
    <w:rsid w:val="00050257"/>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uiPriority w:val="99"/>
    <w:rsid w:val="00792BA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ListParagraph">
    <w:name w:val="List Paragraph"/>
    <w:basedOn w:val="Normal"/>
    <w:uiPriority w:val="34"/>
    <w:qFormat/>
    <w:rsid w:val="00E363D8"/>
    <w:pPr>
      <w:ind w:left="720"/>
      <w:contextualSpacing/>
    </w:pPr>
  </w:style>
  <w:style w:type="table" w:styleId="TableGrid">
    <w:name w:val="Table Grid"/>
    <w:basedOn w:val="TableNormal"/>
    <w:uiPriority w:val="59"/>
    <w:rsid w:val="005C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9498-D5DE-420C-85B3-22CCE8F1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Page</vt:lpstr>
    </vt:vector>
  </TitlesOfParts>
  <Company>BFW Construction Co., Inc.</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subject/>
  <dc:creator>Johnye</dc:creator>
  <cp:keywords/>
  <dc:description/>
  <cp:lastModifiedBy>Richard Knight</cp:lastModifiedBy>
  <cp:revision>2</cp:revision>
  <cp:lastPrinted>2017-06-13T21:54:00Z</cp:lastPrinted>
  <dcterms:created xsi:type="dcterms:W3CDTF">2021-03-31T15:01:00Z</dcterms:created>
  <dcterms:modified xsi:type="dcterms:W3CDTF">2021-03-31T15:01:00Z</dcterms:modified>
</cp:coreProperties>
</file>